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B7608" w14:textId="77777777" w:rsidR="00055D26" w:rsidRPr="00E57CC0" w:rsidRDefault="0018060C" w:rsidP="00F413AD">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6"/>
          <w:szCs w:val="36"/>
          <w:lang w:eastAsia="fr-FR"/>
          <w14:ligatures w14:val="none"/>
        </w:rPr>
      </w:pPr>
      <w:r w:rsidRPr="00E57CC0">
        <w:rPr>
          <w:rFonts w:ascii="Times New Roman" w:eastAsia="Times New Roman" w:hAnsi="Times New Roman" w:cs="Times New Roman"/>
          <w:b/>
          <w:bCs/>
          <w:color w:val="000000" w:themeColor="text1"/>
          <w:kern w:val="36"/>
          <w:sz w:val="36"/>
          <w:szCs w:val="36"/>
          <w:lang w:eastAsia="fr-FR"/>
          <w14:ligatures w14:val="none"/>
        </w:rPr>
        <w:t>« Mordus de savoir »</w:t>
      </w:r>
    </w:p>
    <w:p w14:paraId="3B4F14F8" w14:textId="4E4393EB" w:rsidR="00055D26" w:rsidRPr="00E57CC0" w:rsidRDefault="0018060C" w:rsidP="00AD283E">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6"/>
          <w:szCs w:val="36"/>
          <w:lang w:eastAsia="fr-FR"/>
          <w14:ligatures w14:val="none"/>
        </w:rPr>
      </w:pPr>
      <w:r w:rsidRPr="00E57CC0">
        <w:rPr>
          <w:rFonts w:ascii="Times New Roman" w:eastAsia="Times New Roman" w:hAnsi="Times New Roman" w:cs="Times New Roman"/>
          <w:b/>
          <w:bCs/>
          <w:color w:val="000000" w:themeColor="text1"/>
          <w:kern w:val="0"/>
          <w:lang w:eastAsia="fr-FR"/>
          <w14:ligatures w14:val="none"/>
        </w:rPr>
        <w:t>L’enfant et le savoir à l’épreuve de la pulsion orale</w:t>
      </w:r>
    </w:p>
    <w:p w14:paraId="170FC6F2" w14:textId="12098A4C" w:rsidR="008242D2" w:rsidRPr="00E57CC0" w:rsidRDefault="008E1228" w:rsidP="00326440">
      <w:pPr>
        <w:pStyle w:val="my-2"/>
        <w:spacing w:line="276" w:lineRule="auto"/>
        <w:jc w:val="both"/>
        <w:rPr>
          <w:color w:val="000000" w:themeColor="text1"/>
        </w:rPr>
      </w:pPr>
      <w:r w:rsidRPr="00E57CC0">
        <w:rPr>
          <w:color w:val="000000" w:themeColor="text1"/>
        </w:rPr>
        <w:t>Le groupe</w:t>
      </w:r>
      <w:r w:rsidRPr="00E57CC0">
        <w:rPr>
          <w:rStyle w:val="apple-converted-space"/>
          <w:color w:val="000000" w:themeColor="text1"/>
        </w:rPr>
        <w:t> </w:t>
      </w:r>
      <w:r w:rsidRPr="00E57CC0">
        <w:rPr>
          <w:rStyle w:val="lev"/>
          <w:color w:val="000000" w:themeColor="text1"/>
        </w:rPr>
        <w:t>Le Petit Chose — CEREDA Montpellier</w:t>
      </w:r>
      <w:r w:rsidRPr="00E57CC0">
        <w:rPr>
          <w:rStyle w:val="apple-converted-space"/>
          <w:color w:val="000000" w:themeColor="text1"/>
        </w:rPr>
        <w:t> </w:t>
      </w:r>
      <w:r w:rsidRPr="00E57CC0">
        <w:rPr>
          <w:color w:val="000000" w:themeColor="text1"/>
        </w:rPr>
        <w:t xml:space="preserve">a le plaisir de vous inviter à une après-midi de travail consacrée à la question du </w:t>
      </w:r>
      <w:r w:rsidR="008242D2" w:rsidRPr="00E57CC0">
        <w:rPr>
          <w:color w:val="000000" w:themeColor="text1"/>
        </w:rPr>
        <w:t>rapport</w:t>
      </w:r>
      <w:r w:rsidR="008834EF" w:rsidRPr="00E57CC0">
        <w:rPr>
          <w:color w:val="000000" w:themeColor="text1"/>
        </w:rPr>
        <w:t xml:space="preserve"> entre </w:t>
      </w:r>
      <w:r w:rsidR="008242D2" w:rsidRPr="00E57CC0">
        <w:rPr>
          <w:color w:val="000000" w:themeColor="text1"/>
        </w:rPr>
        <w:t>la pulsion orale</w:t>
      </w:r>
      <w:r w:rsidR="008834EF" w:rsidRPr="00E57CC0">
        <w:rPr>
          <w:color w:val="000000" w:themeColor="text1"/>
        </w:rPr>
        <w:t xml:space="preserve"> et le </w:t>
      </w:r>
      <w:r w:rsidRPr="00E57CC0">
        <w:rPr>
          <w:color w:val="000000" w:themeColor="text1"/>
        </w:rPr>
        <w:t>savoir chez l’enfant.</w:t>
      </w:r>
      <w:r w:rsidR="00055D26" w:rsidRPr="00E57CC0">
        <w:rPr>
          <w:color w:val="000000" w:themeColor="text1"/>
        </w:rPr>
        <w:t xml:space="preserve"> </w:t>
      </w:r>
      <w:r w:rsidRPr="00E57CC0">
        <w:rPr>
          <w:color w:val="000000" w:themeColor="text1"/>
        </w:rPr>
        <w:t xml:space="preserve">Cette rencontre s’inscrit </w:t>
      </w:r>
      <w:r w:rsidR="00911217" w:rsidRPr="00E57CC0">
        <w:rPr>
          <w:color w:val="000000" w:themeColor="text1"/>
        </w:rPr>
        <w:t xml:space="preserve">en direction </w:t>
      </w:r>
      <w:r w:rsidRPr="00E57CC0">
        <w:rPr>
          <w:color w:val="000000" w:themeColor="text1"/>
        </w:rPr>
        <w:t>de la</w:t>
      </w:r>
      <w:r w:rsidRPr="00E57CC0">
        <w:rPr>
          <w:rStyle w:val="apple-converted-space"/>
          <w:color w:val="000000" w:themeColor="text1"/>
        </w:rPr>
        <w:t> </w:t>
      </w:r>
      <w:r w:rsidRPr="00E57CC0">
        <w:rPr>
          <w:rStyle w:val="lev"/>
          <w:color w:val="000000" w:themeColor="text1"/>
        </w:rPr>
        <w:t>9</w:t>
      </w:r>
      <w:r w:rsidR="00503FB4" w:rsidRPr="00E57CC0">
        <w:rPr>
          <w:rStyle w:val="lev"/>
          <w:color w:val="000000" w:themeColor="text1"/>
          <w:vertAlign w:val="superscript"/>
        </w:rPr>
        <w:t>e</w:t>
      </w:r>
      <w:r w:rsidRPr="00E57CC0">
        <w:rPr>
          <w:rStyle w:val="lev"/>
          <w:color w:val="000000" w:themeColor="text1"/>
        </w:rPr>
        <w:t xml:space="preserve"> Journée de l’Institut psychanalytique de l’enfant</w:t>
      </w:r>
      <w:r w:rsidR="000B5B4E" w:rsidRPr="00E57CC0">
        <w:rPr>
          <w:rStyle w:val="lev"/>
          <w:color w:val="000000" w:themeColor="text1"/>
        </w:rPr>
        <w:t xml:space="preserve"> (JIE9)</w:t>
      </w:r>
      <w:r w:rsidRPr="00E57CC0">
        <w:rPr>
          <w:color w:val="000000" w:themeColor="text1"/>
        </w:rPr>
        <w:t>, intitulée « Manger</w:t>
      </w:r>
      <w:r w:rsidR="00503FB4" w:rsidRPr="00E57CC0">
        <w:rPr>
          <w:color w:val="000000" w:themeColor="text1"/>
        </w:rPr>
        <w:t>. L</w:t>
      </w:r>
      <w:r w:rsidRPr="00E57CC0">
        <w:rPr>
          <w:color w:val="000000" w:themeColor="text1"/>
        </w:rPr>
        <w:t>a pulsion orale chez l’enfant ».</w:t>
      </w:r>
      <w:r w:rsidR="00055D26" w:rsidRPr="00E57CC0">
        <w:rPr>
          <w:color w:val="000000" w:themeColor="text1"/>
        </w:rPr>
        <w:t xml:space="preserve"> </w:t>
      </w:r>
    </w:p>
    <w:p w14:paraId="6A1103C7" w14:textId="1CA6DB63" w:rsidR="008E1228" w:rsidRPr="00E57CC0" w:rsidRDefault="008E1228" w:rsidP="00326440">
      <w:pPr>
        <w:pStyle w:val="my-2"/>
        <w:spacing w:line="276" w:lineRule="auto"/>
        <w:jc w:val="both"/>
        <w:rPr>
          <w:color w:val="000000" w:themeColor="text1"/>
        </w:rPr>
      </w:pPr>
      <w:r w:rsidRPr="00E57CC0">
        <w:rPr>
          <w:color w:val="000000" w:themeColor="text1"/>
        </w:rPr>
        <w:t>Nous aurons le privilège d’accueillir deux intervenantes :</w:t>
      </w:r>
      <w:r w:rsidRPr="00E57CC0">
        <w:rPr>
          <w:rStyle w:val="apple-converted-space"/>
          <w:color w:val="000000" w:themeColor="text1"/>
        </w:rPr>
        <w:t> </w:t>
      </w:r>
      <w:r w:rsidRPr="00E57CC0">
        <w:rPr>
          <w:rStyle w:val="lev"/>
          <w:color w:val="000000" w:themeColor="text1"/>
        </w:rPr>
        <w:t>Ligia Gorini</w:t>
      </w:r>
      <w:r w:rsidRPr="00E57CC0">
        <w:rPr>
          <w:color w:val="000000" w:themeColor="text1"/>
        </w:rPr>
        <w:t>, membre de l’ECF et directrice de la Journée de l’Institut psychanalytique de l’enfant, et</w:t>
      </w:r>
      <w:r w:rsidRPr="00E57CC0">
        <w:rPr>
          <w:rStyle w:val="apple-converted-space"/>
          <w:color w:val="000000" w:themeColor="text1"/>
        </w:rPr>
        <w:t> </w:t>
      </w:r>
      <w:r w:rsidRPr="00E57CC0">
        <w:rPr>
          <w:rStyle w:val="lev"/>
          <w:color w:val="000000" w:themeColor="text1"/>
        </w:rPr>
        <w:t>Christelle Sandras</w:t>
      </w:r>
      <w:r w:rsidRPr="00E57CC0">
        <w:rPr>
          <w:color w:val="000000" w:themeColor="text1"/>
        </w:rPr>
        <w:t>, membre de l’ECF et responsable d</w:t>
      </w:r>
      <w:r w:rsidR="001171C5" w:rsidRPr="00E57CC0">
        <w:rPr>
          <w:color w:val="000000" w:themeColor="text1"/>
        </w:rPr>
        <w:t xml:space="preserve">u bulletin </w:t>
      </w:r>
      <w:r w:rsidRPr="00E57CC0">
        <w:rPr>
          <w:color w:val="000000" w:themeColor="text1"/>
        </w:rPr>
        <w:t>numérique</w:t>
      </w:r>
      <w:r w:rsidRPr="00E57CC0">
        <w:rPr>
          <w:rStyle w:val="apple-converted-space"/>
          <w:color w:val="000000" w:themeColor="text1"/>
        </w:rPr>
        <w:t> </w:t>
      </w:r>
      <w:r w:rsidRPr="00E57CC0">
        <w:rPr>
          <w:rStyle w:val="Accentuation"/>
          <w:color w:val="000000" w:themeColor="text1"/>
        </w:rPr>
        <w:t>Diagonal</w:t>
      </w:r>
      <w:r w:rsidRPr="00E57CC0">
        <w:rPr>
          <w:color w:val="000000" w:themeColor="text1"/>
        </w:rPr>
        <w:t xml:space="preserve">. Toutes deux </w:t>
      </w:r>
      <w:r w:rsidR="008242D2" w:rsidRPr="00E57CC0">
        <w:rPr>
          <w:color w:val="000000" w:themeColor="text1"/>
        </w:rPr>
        <w:t>mettron</w:t>
      </w:r>
      <w:r w:rsidR="00BA0F60" w:rsidRPr="00E57CC0">
        <w:rPr>
          <w:color w:val="000000" w:themeColor="text1"/>
        </w:rPr>
        <w:t>t</w:t>
      </w:r>
      <w:r w:rsidR="008834EF" w:rsidRPr="00E57CC0">
        <w:rPr>
          <w:color w:val="000000" w:themeColor="text1"/>
        </w:rPr>
        <w:t xml:space="preserve"> au travail </w:t>
      </w:r>
      <w:r w:rsidR="006A6965" w:rsidRPr="00E57CC0">
        <w:rPr>
          <w:color w:val="000000" w:themeColor="text1"/>
        </w:rPr>
        <w:t>cette question</w:t>
      </w:r>
      <w:r w:rsidRPr="00E57CC0">
        <w:rPr>
          <w:color w:val="000000" w:themeColor="text1"/>
        </w:rPr>
        <w:t xml:space="preserve"> à la lumière de la psychanalyse et de leur expérience clinique et institutionnelle.</w:t>
      </w:r>
    </w:p>
    <w:p w14:paraId="6744875F" w14:textId="77777777" w:rsidR="00EC1A34" w:rsidRPr="00E57CC0" w:rsidRDefault="00EC1A34" w:rsidP="00A5742F">
      <w:pPr>
        <w:spacing w:before="100" w:beforeAutospacing="1" w:after="100" w:afterAutospacing="1" w:line="276" w:lineRule="auto"/>
        <w:jc w:val="both"/>
        <w:outlineLvl w:val="2"/>
        <w:rPr>
          <w:rFonts w:ascii="Times New Roman" w:eastAsia="Times New Roman" w:hAnsi="Times New Roman" w:cs="Times New Roman"/>
          <w:b/>
          <w:bCs/>
          <w:color w:val="000000" w:themeColor="text1"/>
          <w:kern w:val="0"/>
          <w:lang w:eastAsia="fr-FR"/>
          <w14:ligatures w14:val="none"/>
        </w:rPr>
      </w:pPr>
      <w:r w:rsidRPr="00E57CC0">
        <w:rPr>
          <w:rFonts w:ascii="Times New Roman" w:eastAsia="Times New Roman" w:hAnsi="Times New Roman" w:cs="Times New Roman"/>
          <w:b/>
          <w:bCs/>
          <w:color w:val="000000" w:themeColor="text1"/>
          <w:kern w:val="0"/>
          <w:highlight w:val="lightGray"/>
          <w:lang w:eastAsia="fr-FR"/>
          <w14:ligatures w14:val="none"/>
        </w:rPr>
        <w:t>Le savoir chez l'enfant</w:t>
      </w:r>
    </w:p>
    <w:p w14:paraId="2551D42F" w14:textId="61519FD3" w:rsidR="00A97A96" w:rsidRPr="00E57CC0" w:rsidRDefault="00EC1A34" w:rsidP="008834EF">
      <w:pPr>
        <w:spacing w:after="0" w:line="276" w:lineRule="auto"/>
        <w:jc w:val="both"/>
        <w:rPr>
          <w:rFonts w:ascii="Times New Roman" w:eastAsia="Times New Roman" w:hAnsi="Times New Roman" w:cs="Times New Roman"/>
          <w:color w:val="000000" w:themeColor="text1"/>
          <w:kern w:val="0"/>
          <w:lang w:eastAsia="fr-FR"/>
          <w14:ligatures w14:val="none"/>
        </w:rPr>
      </w:pPr>
      <w:r w:rsidRPr="00E57CC0">
        <w:rPr>
          <w:rFonts w:ascii="Times New Roman" w:eastAsia="Times New Roman" w:hAnsi="Times New Roman" w:cs="Times New Roman"/>
          <w:color w:val="000000" w:themeColor="text1"/>
          <w:kern w:val="0"/>
          <w:lang w:eastAsia="fr-FR"/>
          <w14:ligatures w14:val="none"/>
        </w:rPr>
        <w:t xml:space="preserve">L'enfant, avant même de pouvoir parler, est pris dans un rapport énigmatique au savoir et au désir de l'Autre. Ses cris, ses gestes, son corps et ses modalités de satisfaction sont d'emblée interprétés et pris dans la réponse de l'Autre. Dès lors qu'il doit passer par une demande adressée à l'Autre, le besoin se trouve engagé dans le langage et dans le champ du désir. La demande de l'enfant ne se réduit donc jamais à l'expression d'un besoin. Elle met en jeu la présence ou l'absence de l'Autre, la valeur de l'objet et la question de ce que l'Autre attend de lui. </w:t>
      </w:r>
    </w:p>
    <w:p w14:paraId="69702E42" w14:textId="77777777" w:rsidR="00065441" w:rsidRPr="00E57CC0" w:rsidRDefault="00065441" w:rsidP="008834EF">
      <w:pPr>
        <w:spacing w:after="0" w:line="276" w:lineRule="auto"/>
        <w:jc w:val="both"/>
        <w:rPr>
          <w:rFonts w:ascii="Times New Roman" w:eastAsia="Times New Roman" w:hAnsi="Times New Roman" w:cs="Times New Roman"/>
          <w:color w:val="000000" w:themeColor="text1"/>
          <w:kern w:val="0"/>
          <w:lang w:eastAsia="fr-FR"/>
          <w14:ligatures w14:val="none"/>
        </w:rPr>
      </w:pPr>
    </w:p>
    <w:p w14:paraId="79E037CE" w14:textId="05094858" w:rsidR="008242D2" w:rsidRPr="00E57CC0" w:rsidRDefault="00EC1A34" w:rsidP="008834EF">
      <w:pPr>
        <w:spacing w:after="0" w:line="276" w:lineRule="auto"/>
        <w:jc w:val="both"/>
        <w:rPr>
          <w:rFonts w:ascii="Times New Roman" w:eastAsia="Times New Roman" w:hAnsi="Times New Roman" w:cs="Times New Roman"/>
          <w:color w:val="000000" w:themeColor="text1"/>
          <w:kern w:val="0"/>
          <w:lang w:eastAsia="fr-FR"/>
          <w14:ligatures w14:val="none"/>
        </w:rPr>
      </w:pPr>
      <w:r w:rsidRPr="00E57CC0">
        <w:rPr>
          <w:rFonts w:ascii="Times New Roman" w:eastAsia="Times New Roman" w:hAnsi="Times New Roman" w:cs="Times New Roman"/>
          <w:color w:val="000000" w:themeColor="text1"/>
          <w:kern w:val="0"/>
          <w:lang w:eastAsia="fr-FR"/>
          <w14:ligatures w14:val="none"/>
        </w:rPr>
        <w:t>Du côté de la pulsion orale, l</w:t>
      </w:r>
      <w:r w:rsidR="00065441" w:rsidRPr="00E57CC0">
        <w:rPr>
          <w:rFonts w:ascii="Times New Roman" w:eastAsia="Times New Roman" w:hAnsi="Times New Roman" w:cs="Times New Roman"/>
          <w:color w:val="000000" w:themeColor="text1"/>
          <w:kern w:val="0"/>
          <w:lang w:eastAsia="fr-FR"/>
          <w14:ligatures w14:val="none"/>
        </w:rPr>
        <w:t xml:space="preserve">’expérience de satisfaction tient moins à l’objet qu’au circuit même de la pulsion. Comment cette logique pulsionnelle s’articule-t-elle alors au savoir ? </w:t>
      </w:r>
      <w:r w:rsidRPr="00E57CC0">
        <w:rPr>
          <w:rFonts w:ascii="Times New Roman" w:eastAsia="Times New Roman" w:hAnsi="Times New Roman" w:cs="Times New Roman"/>
          <w:color w:val="000000" w:themeColor="text1"/>
          <w:kern w:val="0"/>
          <w:lang w:eastAsia="fr-FR"/>
          <w14:ligatures w14:val="none"/>
        </w:rPr>
        <w:t>Dans </w:t>
      </w:r>
      <w:r w:rsidRPr="00E57CC0">
        <w:rPr>
          <w:rFonts w:ascii="Times New Roman" w:eastAsia="Times New Roman" w:hAnsi="Times New Roman" w:cs="Times New Roman"/>
          <w:i/>
          <w:iCs/>
          <w:color w:val="000000" w:themeColor="text1"/>
          <w:kern w:val="0"/>
          <w:lang w:eastAsia="fr-FR"/>
          <w14:ligatures w14:val="none"/>
        </w:rPr>
        <w:t>Le Séminaire</w:t>
      </w:r>
      <w:r w:rsidR="00043B3C" w:rsidRPr="00E57CC0">
        <w:rPr>
          <w:rFonts w:ascii="Times New Roman" w:eastAsia="Times New Roman" w:hAnsi="Times New Roman" w:cs="Times New Roman"/>
          <w:i/>
          <w:iCs/>
          <w:color w:val="000000" w:themeColor="text1"/>
          <w:kern w:val="0"/>
          <w:lang w:eastAsia="fr-FR"/>
          <w14:ligatures w14:val="none"/>
        </w:rPr>
        <w:t xml:space="preserve"> </w:t>
      </w:r>
      <w:r w:rsidRPr="00E57CC0">
        <w:rPr>
          <w:rFonts w:ascii="Times New Roman" w:eastAsia="Times New Roman" w:hAnsi="Times New Roman" w:cs="Times New Roman"/>
          <w:i/>
          <w:iCs/>
          <w:color w:val="000000" w:themeColor="text1"/>
          <w:kern w:val="0"/>
          <w:lang w:eastAsia="fr-FR"/>
          <w14:ligatures w14:val="none"/>
        </w:rPr>
        <w:t>Encore</w:t>
      </w:r>
      <w:r w:rsidRPr="00E57CC0">
        <w:rPr>
          <w:rFonts w:ascii="Times New Roman" w:eastAsia="Times New Roman" w:hAnsi="Times New Roman" w:cs="Times New Roman"/>
          <w:color w:val="000000" w:themeColor="text1"/>
          <w:kern w:val="0"/>
          <w:lang w:eastAsia="fr-FR"/>
          <w14:ligatures w14:val="none"/>
        </w:rPr>
        <w:t>, Lacan formule ainsi la relation de l'inconscient au savoir : «</w:t>
      </w:r>
      <w:r w:rsidR="00A211A9" w:rsidRPr="00E57CC0">
        <w:rPr>
          <w:rFonts w:ascii="Times New Roman" w:eastAsia="Times New Roman" w:hAnsi="Times New Roman" w:cs="Times New Roman"/>
          <w:color w:val="000000" w:themeColor="text1"/>
          <w:kern w:val="0"/>
          <w:lang w:eastAsia="fr-FR"/>
          <w14:ligatures w14:val="none"/>
        </w:rPr>
        <w:t xml:space="preserve"> L</w:t>
      </w:r>
      <w:r w:rsidRPr="00E57CC0">
        <w:rPr>
          <w:rFonts w:ascii="Times New Roman" w:eastAsia="Times New Roman" w:hAnsi="Times New Roman" w:cs="Times New Roman"/>
          <w:color w:val="000000" w:themeColor="text1"/>
          <w:kern w:val="0"/>
          <w:lang w:eastAsia="fr-FR"/>
          <w14:ligatures w14:val="none"/>
        </w:rPr>
        <w:t>'inconscient est un savoir, un savoir-faire avec lalangue</w:t>
      </w:r>
      <w:r w:rsidR="003444FB" w:rsidRPr="00E57CC0">
        <w:rPr>
          <w:rStyle w:val="Appelnotedebasdep"/>
          <w:rFonts w:ascii="Times New Roman" w:eastAsia="Times New Roman" w:hAnsi="Times New Roman" w:cs="Times New Roman"/>
          <w:color w:val="000000" w:themeColor="text1"/>
          <w:kern w:val="0"/>
          <w:lang w:eastAsia="fr-FR"/>
          <w14:ligatures w14:val="none"/>
        </w:rPr>
        <w:footnoteReference w:id="1"/>
      </w:r>
      <w:r w:rsidRPr="00E57CC0">
        <w:rPr>
          <w:rFonts w:ascii="Times New Roman" w:eastAsia="Times New Roman" w:hAnsi="Times New Roman" w:cs="Times New Roman"/>
          <w:color w:val="000000" w:themeColor="text1"/>
          <w:kern w:val="0"/>
          <w:lang w:eastAsia="fr-FR"/>
          <w14:ligatures w14:val="none"/>
        </w:rPr>
        <w:t xml:space="preserve">. » Ce savoir inconscient ne se présente pas comme un savoir maîtrisé ou déjà constitué. Il se manifeste dans les paroles de l'enfant, ses jeux, ses inventions, ses symptômes, mais aussi dans son rapport au corps et aux objets. </w:t>
      </w:r>
    </w:p>
    <w:p w14:paraId="08A280E0" w14:textId="77777777" w:rsidR="00065441" w:rsidRPr="00E57CC0" w:rsidRDefault="00065441" w:rsidP="008834EF">
      <w:pPr>
        <w:spacing w:after="0" w:line="276" w:lineRule="auto"/>
        <w:jc w:val="both"/>
        <w:rPr>
          <w:rFonts w:ascii="Times New Roman" w:eastAsia="Times New Roman" w:hAnsi="Times New Roman" w:cs="Times New Roman"/>
          <w:color w:val="000000" w:themeColor="text1"/>
          <w:kern w:val="0"/>
          <w:lang w:eastAsia="fr-FR"/>
          <w14:ligatures w14:val="none"/>
        </w:rPr>
      </w:pPr>
    </w:p>
    <w:p w14:paraId="0E94057B" w14:textId="4343E5F4" w:rsidR="00EC1A34" w:rsidRPr="00E57CC0" w:rsidRDefault="00EE7477" w:rsidP="008834EF">
      <w:pPr>
        <w:spacing w:after="0" w:line="276" w:lineRule="auto"/>
        <w:jc w:val="both"/>
        <w:rPr>
          <w:rFonts w:ascii="Times New Roman" w:eastAsia="Times New Roman" w:hAnsi="Times New Roman" w:cs="Times New Roman"/>
          <w:color w:val="000000" w:themeColor="text1"/>
          <w:kern w:val="0"/>
          <w:lang w:eastAsia="fr-FR"/>
          <w14:ligatures w14:val="none"/>
        </w:rPr>
      </w:pPr>
      <w:r w:rsidRPr="00E57CC0">
        <w:rPr>
          <w:rFonts w:ascii="Times New Roman" w:eastAsia="Times New Roman" w:hAnsi="Times New Roman" w:cs="Times New Roman"/>
          <w:color w:val="000000" w:themeColor="text1"/>
          <w:kern w:val="0"/>
          <w:lang w:eastAsia="fr-FR"/>
          <w14:ligatures w14:val="none"/>
        </w:rPr>
        <w:t>À partir de là,</w:t>
      </w:r>
      <w:r w:rsidR="00EC1A34" w:rsidRPr="00E57CC0">
        <w:rPr>
          <w:rFonts w:ascii="Times New Roman" w:eastAsia="Times New Roman" w:hAnsi="Times New Roman" w:cs="Times New Roman"/>
          <w:color w:val="000000" w:themeColor="text1"/>
          <w:kern w:val="0"/>
          <w:lang w:eastAsia="fr-FR"/>
          <w14:ligatures w14:val="none"/>
        </w:rPr>
        <w:t xml:space="preserve"> la pulsion orale permet d'interroger la manière dont l'enfant rencontre le désir de l'Autre, tente de le déchiffrer et cherche à y répondre — ou parfois à s'en séparer. Comme le souligne Ligia Gorini dans son argument pour la JIE9, il s'agit alors de se demander comment vient à l'enfant le désir de savoir, cette « avidité curieuse</w:t>
      </w:r>
      <w:r w:rsidR="00290DD2" w:rsidRPr="00E57CC0">
        <w:rPr>
          <w:rStyle w:val="Appelnotedebasdep"/>
          <w:rFonts w:ascii="Times New Roman" w:eastAsia="Times New Roman" w:hAnsi="Times New Roman" w:cs="Times New Roman"/>
          <w:color w:val="000000" w:themeColor="text1"/>
          <w:kern w:val="0"/>
          <w:lang w:eastAsia="fr-FR"/>
          <w14:ligatures w14:val="none"/>
        </w:rPr>
        <w:footnoteReference w:id="2"/>
      </w:r>
      <w:r w:rsidR="00EC1A34" w:rsidRPr="00E57CC0">
        <w:rPr>
          <w:rFonts w:ascii="Times New Roman" w:eastAsia="Times New Roman" w:hAnsi="Times New Roman" w:cs="Times New Roman"/>
          <w:color w:val="000000" w:themeColor="text1"/>
          <w:kern w:val="0"/>
          <w:lang w:eastAsia="fr-FR"/>
          <w14:ligatures w14:val="none"/>
        </w:rPr>
        <w:t xml:space="preserve"> » si déterminante </w:t>
      </w:r>
      <w:r w:rsidR="00A97A96" w:rsidRPr="00E57CC0">
        <w:rPr>
          <w:rFonts w:ascii="Times New Roman" w:eastAsia="Times New Roman" w:hAnsi="Times New Roman" w:cs="Times New Roman"/>
          <w:color w:val="000000" w:themeColor="text1"/>
          <w:kern w:val="0"/>
          <w:lang w:eastAsia="fr-FR"/>
          <w14:ligatures w14:val="none"/>
        </w:rPr>
        <w:t>pour l</w:t>
      </w:r>
      <w:r w:rsidR="008242D2" w:rsidRPr="00E57CC0">
        <w:rPr>
          <w:rFonts w:ascii="Times New Roman" w:eastAsia="Times New Roman" w:hAnsi="Times New Roman" w:cs="Times New Roman"/>
          <w:color w:val="000000" w:themeColor="text1"/>
          <w:kern w:val="0"/>
          <w:lang w:eastAsia="fr-FR"/>
          <w14:ligatures w14:val="none"/>
        </w:rPr>
        <w:t>ui</w:t>
      </w:r>
      <w:r w:rsidR="00EC1A34" w:rsidRPr="00E57CC0">
        <w:rPr>
          <w:rFonts w:ascii="Times New Roman" w:eastAsia="Times New Roman" w:hAnsi="Times New Roman" w:cs="Times New Roman"/>
          <w:color w:val="000000" w:themeColor="text1"/>
          <w:kern w:val="0"/>
          <w:lang w:eastAsia="fr-FR"/>
          <w14:ligatures w14:val="none"/>
        </w:rPr>
        <w:t xml:space="preserve">. </w:t>
      </w:r>
      <w:r w:rsidR="008242D2" w:rsidRPr="00E57CC0">
        <w:rPr>
          <w:rFonts w:ascii="Times New Roman" w:eastAsia="Times New Roman" w:hAnsi="Times New Roman" w:cs="Times New Roman"/>
          <w:color w:val="000000" w:themeColor="text1"/>
          <w:kern w:val="0"/>
          <w:lang w:eastAsia="fr-FR"/>
          <w14:ligatures w14:val="none"/>
        </w:rPr>
        <w:t xml:space="preserve">De la gourmandise à l’avidité de savoir, quels déplacements la pulsion orale peut-elle connaître ? </w:t>
      </w:r>
    </w:p>
    <w:p w14:paraId="2A05E830" w14:textId="4496A74D" w:rsidR="00676C2F" w:rsidRPr="00E57CC0" w:rsidRDefault="004B6E4D" w:rsidP="00326440">
      <w:pPr>
        <w:pStyle w:val="my-2"/>
        <w:spacing w:line="276" w:lineRule="auto"/>
        <w:jc w:val="both"/>
        <w:rPr>
          <w:color w:val="000000" w:themeColor="text1"/>
        </w:rPr>
      </w:pPr>
      <w:r w:rsidRPr="00E57CC0">
        <w:rPr>
          <w:color w:val="000000" w:themeColor="text1"/>
        </w:rPr>
        <w:t>Nous serons « mordus de savoir » le temps de cette après-midi, à l’écoute de ce que l’enfant, par sa bouche, son rapport à l’objet et à la demande, nous enseigne d’un savoir qui ne se laisse jamais totalement apprivoiser.</w:t>
      </w:r>
      <w:r w:rsidR="003C1156" w:rsidRPr="00E57CC0">
        <w:rPr>
          <w:color w:val="000000" w:themeColor="text1"/>
        </w:rPr>
        <w:t xml:space="preserve"> </w:t>
      </w:r>
      <w:r w:rsidRPr="00E57CC0">
        <w:rPr>
          <w:color w:val="000000" w:themeColor="text1"/>
        </w:rPr>
        <w:t>Nous vous donnons rendez-vous le</w:t>
      </w:r>
      <w:r w:rsidRPr="00E57CC0">
        <w:rPr>
          <w:rStyle w:val="apple-converted-space"/>
          <w:color w:val="000000" w:themeColor="text1"/>
        </w:rPr>
        <w:t> </w:t>
      </w:r>
      <w:r w:rsidRPr="00E57CC0">
        <w:rPr>
          <w:rStyle w:val="lev"/>
          <w:color w:val="000000" w:themeColor="text1"/>
        </w:rPr>
        <w:t>samedi 26 septembre 2026, de 14 h à 16 h</w:t>
      </w:r>
      <w:r w:rsidRPr="00E57CC0">
        <w:rPr>
          <w:color w:val="000000" w:themeColor="text1"/>
        </w:rPr>
        <w:t>, à la</w:t>
      </w:r>
      <w:r w:rsidRPr="00E57CC0">
        <w:rPr>
          <w:rStyle w:val="apple-converted-space"/>
          <w:color w:val="000000" w:themeColor="text1"/>
        </w:rPr>
        <w:t> </w:t>
      </w:r>
      <w:r w:rsidRPr="00E57CC0">
        <w:rPr>
          <w:rStyle w:val="lev"/>
          <w:color w:val="000000" w:themeColor="text1"/>
        </w:rPr>
        <w:t>Gazette Café</w:t>
      </w:r>
      <w:r w:rsidRPr="00E57CC0">
        <w:rPr>
          <w:color w:val="000000" w:themeColor="text1"/>
        </w:rPr>
        <w:t>, 6, rue Levat, à Montpellier.</w:t>
      </w:r>
    </w:p>
    <w:p w14:paraId="4C527579" w14:textId="18177222" w:rsidR="00394297" w:rsidRPr="00E57CC0" w:rsidRDefault="00FE5E93" w:rsidP="008651FC">
      <w:pPr>
        <w:pStyle w:val="my-2"/>
        <w:spacing w:line="276" w:lineRule="auto"/>
        <w:rPr>
          <w:color w:val="000000" w:themeColor="text1"/>
        </w:rPr>
      </w:pPr>
      <w:r w:rsidRPr="00E57CC0">
        <w:rPr>
          <w:color w:val="000000" w:themeColor="text1"/>
        </w:rPr>
        <w:t xml:space="preserve">Gaëlle Chamboncel, responsable du groupe </w:t>
      </w:r>
      <w:r w:rsidR="004B6E4D" w:rsidRPr="00E57CC0">
        <w:rPr>
          <w:color w:val="000000" w:themeColor="text1"/>
        </w:rPr>
        <w:t>CEREDA —</w:t>
      </w:r>
      <w:r w:rsidR="004B6E4D" w:rsidRPr="00E57CC0">
        <w:rPr>
          <w:rStyle w:val="apple-converted-space"/>
          <w:color w:val="000000" w:themeColor="text1"/>
        </w:rPr>
        <w:t> </w:t>
      </w:r>
      <w:r w:rsidR="004B6E4D" w:rsidRPr="00E57CC0">
        <w:rPr>
          <w:rStyle w:val="Accentuation"/>
          <w:color w:val="000000" w:themeColor="text1"/>
        </w:rPr>
        <w:t>Le Petit Chose</w:t>
      </w:r>
      <w:r w:rsidR="003C1156" w:rsidRPr="00E57CC0">
        <w:rPr>
          <w:rStyle w:val="Accentuation"/>
          <w:color w:val="000000" w:themeColor="text1"/>
        </w:rPr>
        <w:t xml:space="preserve"> </w:t>
      </w:r>
      <w:r w:rsidR="003C1156" w:rsidRPr="00E57CC0">
        <w:rPr>
          <w:color w:val="000000" w:themeColor="text1"/>
        </w:rPr>
        <w:t xml:space="preserve">– </w:t>
      </w:r>
      <w:r w:rsidR="004B6E4D" w:rsidRPr="00E57CC0">
        <w:rPr>
          <w:color w:val="000000" w:themeColor="text1"/>
        </w:rPr>
        <w:t>Montpellier</w:t>
      </w:r>
    </w:p>
    <w:sectPr w:rsidR="00394297" w:rsidRPr="00E57CC0" w:rsidSect="00326440">
      <w:pgSz w:w="11906" w:h="16838"/>
      <w:pgMar w:top="1417" w:right="1417" w:bottom="45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3ED5D" w14:textId="77777777" w:rsidR="00942E2B" w:rsidRDefault="00942E2B" w:rsidP="0087442E">
      <w:pPr>
        <w:spacing w:after="0" w:line="240" w:lineRule="auto"/>
      </w:pPr>
      <w:r>
        <w:separator/>
      </w:r>
    </w:p>
  </w:endnote>
  <w:endnote w:type="continuationSeparator" w:id="0">
    <w:p w14:paraId="743AE916" w14:textId="77777777" w:rsidR="00942E2B" w:rsidRDefault="00942E2B" w:rsidP="00874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AE6E8" w14:textId="77777777" w:rsidR="00942E2B" w:rsidRDefault="00942E2B" w:rsidP="0087442E">
      <w:pPr>
        <w:spacing w:after="0" w:line="240" w:lineRule="auto"/>
      </w:pPr>
      <w:r>
        <w:separator/>
      </w:r>
    </w:p>
  </w:footnote>
  <w:footnote w:type="continuationSeparator" w:id="0">
    <w:p w14:paraId="0E4634BF" w14:textId="77777777" w:rsidR="00942E2B" w:rsidRDefault="00942E2B" w:rsidP="0087442E">
      <w:pPr>
        <w:spacing w:after="0" w:line="240" w:lineRule="auto"/>
      </w:pPr>
      <w:r>
        <w:continuationSeparator/>
      </w:r>
    </w:p>
  </w:footnote>
  <w:footnote w:id="1">
    <w:p w14:paraId="18C99F14" w14:textId="55498B1E" w:rsidR="003444FB" w:rsidRDefault="003444FB">
      <w:pPr>
        <w:pStyle w:val="Notedebasdepage"/>
      </w:pPr>
      <w:r>
        <w:rPr>
          <w:rStyle w:val="Appelnotedebasdep"/>
        </w:rPr>
        <w:footnoteRef/>
      </w:r>
      <w:r>
        <w:t xml:space="preserve"> </w:t>
      </w:r>
      <w:r w:rsidRPr="005B17E2">
        <w:rPr>
          <w:rFonts w:ascii="Times New Roman" w:eastAsia="Times New Roman" w:hAnsi="Times New Roman" w:cs="Times New Roman"/>
          <w:color w:val="000000"/>
          <w:kern w:val="0"/>
          <w:sz w:val="18"/>
          <w:szCs w:val="18"/>
          <w:lang w:eastAsia="fr-FR"/>
          <w14:ligatures w14:val="none"/>
        </w:rPr>
        <w:t>Lacan J., </w:t>
      </w:r>
      <w:r w:rsidRPr="005B17E2">
        <w:rPr>
          <w:rFonts w:ascii="Times New Roman" w:eastAsia="Times New Roman" w:hAnsi="Times New Roman" w:cs="Times New Roman"/>
          <w:i/>
          <w:iCs/>
          <w:color w:val="000000"/>
          <w:kern w:val="0"/>
          <w:sz w:val="18"/>
          <w:szCs w:val="18"/>
          <w:lang w:eastAsia="fr-FR"/>
          <w14:ligatures w14:val="none"/>
        </w:rPr>
        <w:t>Le Séminaire, livre XX, Encore</w:t>
      </w:r>
      <w:r w:rsidRPr="005B17E2">
        <w:rPr>
          <w:rFonts w:ascii="Times New Roman" w:eastAsia="Times New Roman" w:hAnsi="Times New Roman" w:cs="Times New Roman"/>
          <w:color w:val="000000"/>
          <w:kern w:val="0"/>
          <w:sz w:val="18"/>
          <w:szCs w:val="18"/>
          <w:lang w:eastAsia="fr-FR"/>
          <w14:ligatures w14:val="none"/>
        </w:rPr>
        <w:t>, Paris, Seuil, 1975, p. 127.</w:t>
      </w:r>
    </w:p>
  </w:footnote>
  <w:footnote w:id="2">
    <w:p w14:paraId="4A15F085" w14:textId="4A4A3A3C" w:rsidR="00290DD2" w:rsidRDefault="00290DD2">
      <w:pPr>
        <w:pStyle w:val="Notedebasdepage"/>
      </w:pPr>
      <w:r>
        <w:rPr>
          <w:rStyle w:val="Appelnotedebasdep"/>
        </w:rPr>
        <w:footnoteRef/>
      </w:r>
      <w:r>
        <w:t xml:space="preserve"> </w:t>
      </w:r>
      <w:r w:rsidRPr="005B17E2">
        <w:rPr>
          <w:rFonts w:ascii="Times New Roman" w:eastAsia="Times New Roman" w:hAnsi="Times New Roman" w:cs="Times New Roman"/>
          <w:color w:val="000000"/>
          <w:kern w:val="0"/>
          <w:sz w:val="18"/>
          <w:szCs w:val="18"/>
          <w:lang w:eastAsia="fr-FR"/>
          <w14:ligatures w14:val="none"/>
        </w:rPr>
        <w:t>Gorini L., « Manger. La pulsion orale chez l'enfant », argument de la JIE9, Institut psychanalytique de l'Enfant du Champ freudien, citant Lacan J., </w:t>
      </w:r>
      <w:r w:rsidRPr="005B17E2">
        <w:rPr>
          <w:rFonts w:ascii="Times New Roman" w:eastAsia="Times New Roman" w:hAnsi="Times New Roman" w:cs="Times New Roman"/>
          <w:i/>
          <w:iCs/>
          <w:color w:val="000000"/>
          <w:kern w:val="0"/>
          <w:sz w:val="18"/>
          <w:szCs w:val="18"/>
          <w:lang w:eastAsia="fr-FR"/>
          <w14:ligatures w14:val="none"/>
        </w:rPr>
        <w:t>Le Séminaire, livre VII, L'Éthique de la psychanalyse</w:t>
      </w:r>
      <w:r w:rsidRPr="005B17E2">
        <w:rPr>
          <w:rFonts w:ascii="Times New Roman" w:eastAsia="Times New Roman" w:hAnsi="Times New Roman" w:cs="Times New Roman"/>
          <w:color w:val="000000"/>
          <w:kern w:val="0"/>
          <w:sz w:val="18"/>
          <w:szCs w:val="18"/>
          <w:lang w:eastAsia="fr-FR"/>
          <w14:ligatures w14:val="none"/>
        </w:rPr>
        <w:t>, texte établi par J.-A. Miller, Paris, Seuil, 1986, p. 371.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49"/>
    <w:rsid w:val="00005CE9"/>
    <w:rsid w:val="000377BA"/>
    <w:rsid w:val="00043B3C"/>
    <w:rsid w:val="0005122D"/>
    <w:rsid w:val="00055D26"/>
    <w:rsid w:val="00065441"/>
    <w:rsid w:val="000724FA"/>
    <w:rsid w:val="00075315"/>
    <w:rsid w:val="00080FBF"/>
    <w:rsid w:val="000B5B4E"/>
    <w:rsid w:val="000B7A7C"/>
    <w:rsid w:val="000C02B6"/>
    <w:rsid w:val="000C5858"/>
    <w:rsid w:val="000D36FA"/>
    <w:rsid w:val="000F0469"/>
    <w:rsid w:val="001171C5"/>
    <w:rsid w:val="0018060C"/>
    <w:rsid w:val="001913C9"/>
    <w:rsid w:val="00247D84"/>
    <w:rsid w:val="002640C1"/>
    <w:rsid w:val="00277172"/>
    <w:rsid w:val="00290DD2"/>
    <w:rsid w:val="002A3869"/>
    <w:rsid w:val="002F74DB"/>
    <w:rsid w:val="0030176F"/>
    <w:rsid w:val="00302CF3"/>
    <w:rsid w:val="00314622"/>
    <w:rsid w:val="00315551"/>
    <w:rsid w:val="00326440"/>
    <w:rsid w:val="00340328"/>
    <w:rsid w:val="003444FB"/>
    <w:rsid w:val="0035089C"/>
    <w:rsid w:val="00394297"/>
    <w:rsid w:val="00397CB4"/>
    <w:rsid w:val="003C1156"/>
    <w:rsid w:val="003F08C1"/>
    <w:rsid w:val="003F3595"/>
    <w:rsid w:val="0040735F"/>
    <w:rsid w:val="0048009B"/>
    <w:rsid w:val="004B6E4D"/>
    <w:rsid w:val="004D22E8"/>
    <w:rsid w:val="00503FB4"/>
    <w:rsid w:val="00515FD0"/>
    <w:rsid w:val="00526240"/>
    <w:rsid w:val="005306FD"/>
    <w:rsid w:val="00532BCE"/>
    <w:rsid w:val="00553A74"/>
    <w:rsid w:val="005713C5"/>
    <w:rsid w:val="00574EF1"/>
    <w:rsid w:val="005B17E2"/>
    <w:rsid w:val="005D110B"/>
    <w:rsid w:val="005D1324"/>
    <w:rsid w:val="005D2D7B"/>
    <w:rsid w:val="006630B1"/>
    <w:rsid w:val="00673B05"/>
    <w:rsid w:val="00676C2F"/>
    <w:rsid w:val="00685D01"/>
    <w:rsid w:val="00691E68"/>
    <w:rsid w:val="006A0B21"/>
    <w:rsid w:val="006A6965"/>
    <w:rsid w:val="006C5194"/>
    <w:rsid w:val="007063C8"/>
    <w:rsid w:val="0071719F"/>
    <w:rsid w:val="00720062"/>
    <w:rsid w:val="007337E3"/>
    <w:rsid w:val="00742BFF"/>
    <w:rsid w:val="0080006C"/>
    <w:rsid w:val="008024B3"/>
    <w:rsid w:val="008242D2"/>
    <w:rsid w:val="00826A07"/>
    <w:rsid w:val="008459B3"/>
    <w:rsid w:val="00851285"/>
    <w:rsid w:val="008617BC"/>
    <w:rsid w:val="008651FC"/>
    <w:rsid w:val="0087442E"/>
    <w:rsid w:val="008834EF"/>
    <w:rsid w:val="008B50EC"/>
    <w:rsid w:val="008C1650"/>
    <w:rsid w:val="008D438F"/>
    <w:rsid w:val="008E1228"/>
    <w:rsid w:val="00905B12"/>
    <w:rsid w:val="00911217"/>
    <w:rsid w:val="0091217F"/>
    <w:rsid w:val="00926A5C"/>
    <w:rsid w:val="00934B9B"/>
    <w:rsid w:val="00942E2B"/>
    <w:rsid w:val="00992FE2"/>
    <w:rsid w:val="009C5502"/>
    <w:rsid w:val="009C69E4"/>
    <w:rsid w:val="009D47E8"/>
    <w:rsid w:val="00A01F8D"/>
    <w:rsid w:val="00A211A9"/>
    <w:rsid w:val="00A41CFF"/>
    <w:rsid w:val="00A5742F"/>
    <w:rsid w:val="00A823DB"/>
    <w:rsid w:val="00A97A96"/>
    <w:rsid w:val="00AA2DF4"/>
    <w:rsid w:val="00AB2039"/>
    <w:rsid w:val="00AB45DB"/>
    <w:rsid w:val="00AB622D"/>
    <w:rsid w:val="00AD283E"/>
    <w:rsid w:val="00AD45F7"/>
    <w:rsid w:val="00AF7969"/>
    <w:rsid w:val="00B040F5"/>
    <w:rsid w:val="00B1142B"/>
    <w:rsid w:val="00B7457A"/>
    <w:rsid w:val="00B930C8"/>
    <w:rsid w:val="00BA0F60"/>
    <w:rsid w:val="00BD72D1"/>
    <w:rsid w:val="00C3573C"/>
    <w:rsid w:val="00C45F60"/>
    <w:rsid w:val="00CD5065"/>
    <w:rsid w:val="00D23812"/>
    <w:rsid w:val="00D3267E"/>
    <w:rsid w:val="00DA2B49"/>
    <w:rsid w:val="00DE2072"/>
    <w:rsid w:val="00E0208A"/>
    <w:rsid w:val="00E1519E"/>
    <w:rsid w:val="00E2452A"/>
    <w:rsid w:val="00E24914"/>
    <w:rsid w:val="00E57CC0"/>
    <w:rsid w:val="00E9563F"/>
    <w:rsid w:val="00EC1A34"/>
    <w:rsid w:val="00ED2EEB"/>
    <w:rsid w:val="00EE7477"/>
    <w:rsid w:val="00F278B3"/>
    <w:rsid w:val="00F413AD"/>
    <w:rsid w:val="00F43DE8"/>
    <w:rsid w:val="00F50C89"/>
    <w:rsid w:val="00F6324B"/>
    <w:rsid w:val="00FB09CB"/>
    <w:rsid w:val="00FE0331"/>
    <w:rsid w:val="00FE188C"/>
    <w:rsid w:val="00FE3C44"/>
    <w:rsid w:val="00FE5E93"/>
    <w:rsid w:val="00FF3E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D0D4"/>
  <w15:chartTrackingRefBased/>
  <w15:docId w15:val="{8BD17F44-DD29-FE49-954A-6910F2373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A2B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DA2B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DA2B4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A2B4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A2B4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A2B4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A2B4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A2B4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A2B4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2B4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DA2B4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DA2B4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A2B4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A2B4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A2B4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A2B4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A2B4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A2B49"/>
    <w:rPr>
      <w:rFonts w:eastAsiaTheme="majorEastAsia" w:cstheme="majorBidi"/>
      <w:color w:val="272727" w:themeColor="text1" w:themeTint="D8"/>
    </w:rPr>
  </w:style>
  <w:style w:type="paragraph" w:styleId="Titre">
    <w:name w:val="Title"/>
    <w:basedOn w:val="Normal"/>
    <w:next w:val="Normal"/>
    <w:link w:val="TitreCar"/>
    <w:uiPriority w:val="10"/>
    <w:qFormat/>
    <w:rsid w:val="00DA2B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2B4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A2B4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A2B4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A2B49"/>
    <w:pPr>
      <w:spacing w:before="160"/>
      <w:jc w:val="center"/>
    </w:pPr>
    <w:rPr>
      <w:i/>
      <w:iCs/>
      <w:color w:val="404040" w:themeColor="text1" w:themeTint="BF"/>
    </w:rPr>
  </w:style>
  <w:style w:type="character" w:customStyle="1" w:styleId="CitationCar">
    <w:name w:val="Citation Car"/>
    <w:basedOn w:val="Policepardfaut"/>
    <w:link w:val="Citation"/>
    <w:uiPriority w:val="29"/>
    <w:rsid w:val="00DA2B49"/>
    <w:rPr>
      <w:i/>
      <w:iCs/>
      <w:color w:val="404040" w:themeColor="text1" w:themeTint="BF"/>
    </w:rPr>
  </w:style>
  <w:style w:type="paragraph" w:styleId="Paragraphedeliste">
    <w:name w:val="List Paragraph"/>
    <w:basedOn w:val="Normal"/>
    <w:uiPriority w:val="34"/>
    <w:qFormat/>
    <w:rsid w:val="00DA2B49"/>
    <w:pPr>
      <w:ind w:left="720"/>
      <w:contextualSpacing/>
    </w:pPr>
  </w:style>
  <w:style w:type="character" w:styleId="Accentuationintense">
    <w:name w:val="Intense Emphasis"/>
    <w:basedOn w:val="Policepardfaut"/>
    <w:uiPriority w:val="21"/>
    <w:qFormat/>
    <w:rsid w:val="00DA2B49"/>
    <w:rPr>
      <w:i/>
      <w:iCs/>
      <w:color w:val="2F5496" w:themeColor="accent1" w:themeShade="BF"/>
    </w:rPr>
  </w:style>
  <w:style w:type="paragraph" w:styleId="Citationintense">
    <w:name w:val="Intense Quote"/>
    <w:basedOn w:val="Normal"/>
    <w:next w:val="Normal"/>
    <w:link w:val="CitationintenseCar"/>
    <w:uiPriority w:val="30"/>
    <w:qFormat/>
    <w:rsid w:val="00DA2B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A2B49"/>
    <w:rPr>
      <w:i/>
      <w:iCs/>
      <w:color w:val="2F5496" w:themeColor="accent1" w:themeShade="BF"/>
    </w:rPr>
  </w:style>
  <w:style w:type="character" w:styleId="Rfrenceintense">
    <w:name w:val="Intense Reference"/>
    <w:basedOn w:val="Policepardfaut"/>
    <w:uiPriority w:val="32"/>
    <w:qFormat/>
    <w:rsid w:val="00DA2B49"/>
    <w:rPr>
      <w:b/>
      <w:bCs/>
      <w:smallCaps/>
      <w:color w:val="2F5496" w:themeColor="accent1" w:themeShade="BF"/>
      <w:spacing w:val="5"/>
    </w:rPr>
  </w:style>
  <w:style w:type="paragraph" w:customStyle="1" w:styleId="my-2">
    <w:name w:val="my-2"/>
    <w:basedOn w:val="Normal"/>
    <w:rsid w:val="00AF7969"/>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AF7969"/>
    <w:rPr>
      <w:b/>
      <w:bCs/>
    </w:rPr>
  </w:style>
  <w:style w:type="character" w:styleId="Accentuation">
    <w:name w:val="Emphasis"/>
    <w:basedOn w:val="Policepardfaut"/>
    <w:uiPriority w:val="20"/>
    <w:qFormat/>
    <w:rsid w:val="00AF7969"/>
    <w:rPr>
      <w:i/>
      <w:iCs/>
    </w:rPr>
  </w:style>
  <w:style w:type="character" w:customStyle="1" w:styleId="apple-converted-space">
    <w:name w:val="apple-converted-space"/>
    <w:basedOn w:val="Policepardfaut"/>
    <w:rsid w:val="00AF7969"/>
  </w:style>
  <w:style w:type="character" w:customStyle="1" w:styleId="flex">
    <w:name w:val="flex"/>
    <w:basedOn w:val="Policepardfaut"/>
    <w:rsid w:val="00826A07"/>
  </w:style>
  <w:style w:type="character" w:customStyle="1" w:styleId="inline-flex">
    <w:name w:val="inline-flex"/>
    <w:basedOn w:val="Policepardfaut"/>
    <w:rsid w:val="00826A07"/>
  </w:style>
  <w:style w:type="paragraph" w:styleId="Notedebasdepage">
    <w:name w:val="footnote text"/>
    <w:basedOn w:val="Normal"/>
    <w:link w:val="NotedebasdepageCar"/>
    <w:uiPriority w:val="99"/>
    <w:semiHidden/>
    <w:unhideWhenUsed/>
    <w:rsid w:val="0087442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7442E"/>
    <w:rPr>
      <w:sz w:val="20"/>
      <w:szCs w:val="20"/>
    </w:rPr>
  </w:style>
  <w:style w:type="character" w:styleId="Appelnotedebasdep">
    <w:name w:val="footnote reference"/>
    <w:basedOn w:val="Policepardfaut"/>
    <w:uiPriority w:val="99"/>
    <w:semiHidden/>
    <w:unhideWhenUsed/>
    <w:rsid w:val="0087442E"/>
    <w:rPr>
      <w:vertAlign w:val="superscript"/>
    </w:rPr>
  </w:style>
  <w:style w:type="character" w:customStyle="1" w:styleId="inline-block">
    <w:name w:val="inline-block"/>
    <w:basedOn w:val="Policepardfaut"/>
    <w:rsid w:val="007337E3"/>
  </w:style>
  <w:style w:type="paragraph" w:customStyle="1" w:styleId="font-claude-response-body">
    <w:name w:val="font-claude-response-body"/>
    <w:basedOn w:val="Normal"/>
    <w:rsid w:val="00EC1A34"/>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2422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gaelle chamboncel</dc:creator>
  <cp:keywords/>
  <dc:description/>
  <cp:lastModifiedBy>bernard sadaillan</cp:lastModifiedBy>
  <cp:revision>2</cp:revision>
  <dcterms:created xsi:type="dcterms:W3CDTF">2026-09-06T05:46:00Z</dcterms:created>
  <dcterms:modified xsi:type="dcterms:W3CDTF">2026-09-06T05:46:00Z</dcterms:modified>
</cp:coreProperties>
</file>